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E9" w:rsidRPr="00946939" w:rsidRDefault="00CA7DE9" w:rsidP="00CA7DE9">
      <w:pPr>
        <w:rPr>
          <w:i/>
        </w:rPr>
      </w:pPr>
      <w:bookmarkStart w:id="0" w:name="_GoBack"/>
      <w:bookmarkEnd w:id="0"/>
      <w:r w:rsidRPr="00946939">
        <w:rPr>
          <w:i/>
          <w:noProof/>
        </w:rPr>
        <w:drawing>
          <wp:anchor distT="0" distB="0" distL="0" distR="0" simplePos="0" relativeHeight="251660288" behindDoc="0" locked="0" layoutInCell="0" hidden="0" allowOverlap="0" wp14:anchorId="5595A7F6" wp14:editId="69596E0C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493010" cy="1078230"/>
            <wp:effectExtent l="0" t="0" r="0" b="0"/>
            <wp:wrapSquare wrapText="bothSides"/>
            <wp:docPr id="2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9301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7DE9" w:rsidRDefault="001325FE" w:rsidP="001325FE">
      <w:pPr>
        <w:jc w:val="center"/>
        <w:rPr>
          <w:b/>
          <w:sz w:val="52"/>
          <w:szCs w:val="52"/>
        </w:rPr>
      </w:pPr>
      <w:r w:rsidRPr="001325FE">
        <w:rPr>
          <w:b/>
          <w:sz w:val="52"/>
          <w:szCs w:val="52"/>
        </w:rPr>
        <w:t xml:space="preserve">CE Workshop </w:t>
      </w:r>
      <w:r w:rsidR="00CA7DE9" w:rsidRPr="001325FE">
        <w:rPr>
          <w:b/>
          <w:sz w:val="52"/>
          <w:szCs w:val="52"/>
        </w:rPr>
        <w:t xml:space="preserve">Evaluation </w:t>
      </w:r>
      <w:r w:rsidRPr="001325FE">
        <w:rPr>
          <w:b/>
          <w:sz w:val="52"/>
          <w:szCs w:val="52"/>
        </w:rPr>
        <w:t>Form</w:t>
      </w:r>
    </w:p>
    <w:p w:rsidR="001325FE" w:rsidRPr="001325FE" w:rsidRDefault="001325FE" w:rsidP="001325FE">
      <w:pPr>
        <w:jc w:val="center"/>
        <w:rPr>
          <w:sz w:val="52"/>
          <w:szCs w:val="52"/>
        </w:rPr>
      </w:pPr>
      <w:r>
        <w:rPr>
          <w:b/>
          <w:sz w:val="52"/>
          <w:szCs w:val="52"/>
        </w:rPr>
        <w:t>Arrangement and Description Track</w:t>
      </w:r>
    </w:p>
    <w:p w:rsidR="00CA7DE9" w:rsidRDefault="00CA7DE9" w:rsidP="00CA7DE9"/>
    <w:p w:rsidR="009006DC" w:rsidRDefault="009006DC" w:rsidP="009006DC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>Workshop</w:t>
      </w:r>
      <w:r w:rsidRPr="00CA7DE9">
        <w:rPr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Evaluation</w:t>
      </w:r>
      <w:r w:rsidRPr="00CA7DE9">
        <w:rPr>
          <w:b/>
          <w:sz w:val="32"/>
          <w:szCs w:val="32"/>
          <w:u w:val="single"/>
        </w:rPr>
        <w:t xml:space="preserve"> Form:</w:t>
      </w:r>
    </w:p>
    <w:p w:rsidR="009006DC" w:rsidRDefault="009006DC" w:rsidP="009006DC">
      <w:pPr>
        <w:rPr>
          <w:b/>
          <w:sz w:val="32"/>
          <w:szCs w:val="32"/>
          <w:u w:val="single"/>
        </w:rPr>
      </w:pPr>
    </w:p>
    <w:tbl>
      <w:tblPr>
        <w:tblW w:w="1449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0"/>
        <w:gridCol w:w="12420"/>
      </w:tblGrid>
      <w:tr w:rsidR="009006DC" w:rsidTr="006D5F69">
        <w:tc>
          <w:tcPr>
            <w:tcW w:w="2070" w:type="dxa"/>
            <w:tcMar>
              <w:left w:w="0" w:type="dxa"/>
              <w:right w:w="0" w:type="dxa"/>
            </w:tcMar>
            <w:vAlign w:val="center"/>
          </w:tcPr>
          <w:p w:rsidR="009006DC" w:rsidRPr="006D5F69" w:rsidRDefault="009006DC" w:rsidP="009006DC">
            <w:pPr>
              <w:rPr>
                <w:b/>
                <w:sz w:val="32"/>
                <w:szCs w:val="32"/>
              </w:rPr>
            </w:pPr>
            <w:r w:rsidRPr="006D5F69">
              <w:rPr>
                <w:b/>
                <w:color w:val="000000"/>
                <w:sz w:val="32"/>
                <w:szCs w:val="32"/>
              </w:rPr>
              <w:t xml:space="preserve">Title </w:t>
            </w:r>
          </w:p>
        </w:tc>
        <w:tc>
          <w:tcPr>
            <w:tcW w:w="12420" w:type="dxa"/>
            <w:tcMar>
              <w:left w:w="0" w:type="dxa"/>
              <w:right w:w="0" w:type="dxa"/>
            </w:tcMar>
            <w:vAlign w:val="center"/>
          </w:tcPr>
          <w:p w:rsidR="009006DC" w:rsidRDefault="00E30902" w:rsidP="009006DC">
            <w:r>
              <w:t>Visual Literacy for Photograph Collections</w:t>
            </w:r>
          </w:p>
        </w:tc>
      </w:tr>
      <w:tr w:rsidR="006D5F69" w:rsidTr="006D5F69">
        <w:tc>
          <w:tcPr>
            <w:tcW w:w="2070" w:type="dxa"/>
            <w:tcMar>
              <w:left w:w="0" w:type="dxa"/>
              <w:right w:w="0" w:type="dxa"/>
            </w:tcMar>
            <w:vAlign w:val="center"/>
          </w:tcPr>
          <w:p w:rsidR="006D5F69" w:rsidRPr="006D5F69" w:rsidRDefault="006D5F69" w:rsidP="009006DC">
            <w:pPr>
              <w:rPr>
                <w:b/>
                <w:color w:val="000000"/>
                <w:sz w:val="32"/>
                <w:szCs w:val="32"/>
              </w:rPr>
            </w:pPr>
            <w:r w:rsidRPr="006D5F69">
              <w:rPr>
                <w:b/>
                <w:color w:val="000000"/>
                <w:sz w:val="32"/>
                <w:szCs w:val="32"/>
              </w:rPr>
              <w:t>Reviewer:</w:t>
            </w:r>
          </w:p>
        </w:tc>
        <w:tc>
          <w:tcPr>
            <w:tcW w:w="12420" w:type="dxa"/>
            <w:tcMar>
              <w:left w:w="0" w:type="dxa"/>
              <w:right w:w="0" w:type="dxa"/>
            </w:tcMar>
            <w:vAlign w:val="center"/>
          </w:tcPr>
          <w:p w:rsidR="006D5F69" w:rsidRDefault="006F3D4A" w:rsidP="009006DC">
            <w:r>
              <w:t xml:space="preserve">Alison </w:t>
            </w:r>
            <w:r w:rsidR="00E30902">
              <w:t>Clemens</w:t>
            </w:r>
          </w:p>
        </w:tc>
      </w:tr>
    </w:tbl>
    <w:p w:rsidR="009006DC" w:rsidRPr="00B82EBB" w:rsidRDefault="009006DC" w:rsidP="009006DC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B82EBB">
        <w:rPr>
          <w:szCs w:val="24"/>
        </w:rPr>
        <w:t xml:space="preserve">Directions:  </w:t>
      </w:r>
    </w:p>
    <w:p w:rsidR="009006DC" w:rsidRPr="00B82EBB" w:rsidRDefault="009006DC" w:rsidP="009006D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Cs w:val="24"/>
        </w:rPr>
      </w:pPr>
      <w:r w:rsidRPr="00B82EBB">
        <w:rPr>
          <w:szCs w:val="24"/>
        </w:rPr>
        <w:t>Quantitative: Each item below begins with a</w:t>
      </w:r>
      <w:r w:rsidRPr="00B82EBB">
        <w:rPr>
          <w:b/>
          <w:bCs/>
          <w:szCs w:val="24"/>
        </w:rPr>
        <w:t xml:space="preserve"> </w:t>
      </w:r>
      <w:r w:rsidRPr="00D21879">
        <w:rPr>
          <w:b/>
          <w:bCs/>
          <w:szCs w:val="24"/>
        </w:rPr>
        <w:t>bolded</w:t>
      </w:r>
      <w:r w:rsidRPr="00B82EBB">
        <w:rPr>
          <w:szCs w:val="24"/>
        </w:rPr>
        <w:t xml:space="preserve"> statement. Score each with a 1-5 ranking to indicate your assessment of the veracity of that statement based on your review of workshop overviews/agendas, evaluations, and other materials.</w:t>
      </w:r>
    </w:p>
    <w:p w:rsidR="009006DC" w:rsidRPr="00B82EBB" w:rsidRDefault="009006DC" w:rsidP="009006D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Cs w:val="24"/>
        </w:rPr>
      </w:pPr>
      <w:r w:rsidRPr="00B82EBB">
        <w:rPr>
          <w:szCs w:val="24"/>
        </w:rPr>
        <w:t>Qualitative: In the comments section for each item below, please respond to the additional questions posed and any related issues that this workshop raises for you.</w:t>
      </w:r>
    </w:p>
    <w:p w:rsidR="009006DC" w:rsidRPr="00B82EBB" w:rsidRDefault="009006DC" w:rsidP="009006D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Cs w:val="24"/>
        </w:rPr>
      </w:pPr>
      <w:r w:rsidRPr="00B82EBB">
        <w:rPr>
          <w:szCs w:val="24"/>
        </w:rPr>
        <w:t>Provide any additional assessments or comments not relevant to one of the specific, numbered areas in the space provided following the table.</w:t>
      </w:r>
    </w:p>
    <w:p w:rsidR="009006DC" w:rsidRPr="00B82EBB" w:rsidRDefault="009006DC" w:rsidP="009006DC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3060"/>
        <w:gridCol w:w="8370"/>
        <w:gridCol w:w="540"/>
        <w:gridCol w:w="540"/>
        <w:gridCol w:w="540"/>
        <w:gridCol w:w="540"/>
        <w:gridCol w:w="630"/>
        <w:gridCol w:w="270"/>
      </w:tblGrid>
      <w:tr w:rsidR="009006DC" w:rsidRPr="00B82EBB" w:rsidTr="00465F4B">
        <w:trPr>
          <w:gridAfter w:val="1"/>
          <w:wAfter w:w="270" w:type="dxa"/>
          <w:trHeight w:val="468"/>
        </w:trPr>
        <w:tc>
          <w:tcPr>
            <w:tcW w:w="11448" w:type="dxa"/>
            <w:gridSpan w:val="3"/>
            <w:tcBorders>
              <w:top w:val="nil"/>
              <w:left w:val="nil"/>
            </w:tcBorders>
          </w:tcPr>
          <w:p w:rsidR="009006DC" w:rsidRPr="00B82EBB" w:rsidRDefault="009006DC" w:rsidP="009006DC">
            <w:pPr>
              <w:rPr>
                <w:i/>
                <w:szCs w:val="24"/>
              </w:rPr>
            </w:pPr>
            <w:r w:rsidRPr="00B82EBB">
              <w:rPr>
                <w:i/>
                <w:szCs w:val="24"/>
              </w:rPr>
              <w:t xml:space="preserve">Please place an “x” in the appropriate column, use </w:t>
            </w:r>
            <w:r w:rsidRPr="00B82EBB">
              <w:rPr>
                <w:b/>
                <w:i/>
                <w:szCs w:val="24"/>
              </w:rPr>
              <w:t>1=low</w:t>
            </w:r>
            <w:r w:rsidRPr="00B82EBB">
              <w:rPr>
                <w:i/>
                <w:szCs w:val="24"/>
              </w:rPr>
              <w:t xml:space="preserve">, undesirable, to </w:t>
            </w:r>
            <w:r w:rsidRPr="00B82EBB">
              <w:rPr>
                <w:b/>
                <w:i/>
                <w:szCs w:val="24"/>
              </w:rPr>
              <w:t>5=high</w:t>
            </w:r>
            <w:r w:rsidRPr="00B82EBB">
              <w:rPr>
                <w:i/>
                <w:szCs w:val="24"/>
              </w:rPr>
              <w:t>, excellent.</w:t>
            </w:r>
          </w:p>
        </w:tc>
        <w:tc>
          <w:tcPr>
            <w:tcW w:w="540" w:type="dxa"/>
            <w:tcBorders>
              <w:top w:val="nil"/>
            </w:tcBorders>
          </w:tcPr>
          <w:p w:rsidR="009006DC" w:rsidRPr="00B82EBB" w:rsidRDefault="009006DC" w:rsidP="009006DC">
            <w:pPr>
              <w:jc w:val="center"/>
              <w:rPr>
                <w:b/>
                <w:szCs w:val="24"/>
              </w:rPr>
            </w:pPr>
            <w:r w:rsidRPr="00B82EBB">
              <w:rPr>
                <w:b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</w:tcBorders>
          </w:tcPr>
          <w:p w:rsidR="009006DC" w:rsidRPr="00B82EBB" w:rsidRDefault="009006DC" w:rsidP="009006DC">
            <w:pPr>
              <w:jc w:val="center"/>
              <w:rPr>
                <w:b/>
                <w:szCs w:val="24"/>
              </w:rPr>
            </w:pPr>
            <w:r w:rsidRPr="00B82EBB">
              <w:rPr>
                <w:b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</w:tcBorders>
          </w:tcPr>
          <w:p w:rsidR="009006DC" w:rsidRPr="00B82EBB" w:rsidRDefault="009006DC" w:rsidP="009006DC">
            <w:pPr>
              <w:jc w:val="center"/>
              <w:rPr>
                <w:b/>
                <w:szCs w:val="24"/>
              </w:rPr>
            </w:pPr>
            <w:r w:rsidRPr="00B82EBB">
              <w:rPr>
                <w:b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</w:tcBorders>
          </w:tcPr>
          <w:p w:rsidR="009006DC" w:rsidRPr="00B82EBB" w:rsidRDefault="009006DC" w:rsidP="009006DC">
            <w:pPr>
              <w:jc w:val="center"/>
              <w:rPr>
                <w:b/>
                <w:szCs w:val="24"/>
              </w:rPr>
            </w:pPr>
            <w:r w:rsidRPr="00B82EBB">
              <w:rPr>
                <w:b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</w:tcBorders>
          </w:tcPr>
          <w:p w:rsidR="009006DC" w:rsidRPr="00B82EBB" w:rsidRDefault="009006DC" w:rsidP="009006DC">
            <w:pPr>
              <w:jc w:val="center"/>
              <w:rPr>
                <w:b/>
                <w:szCs w:val="24"/>
              </w:rPr>
            </w:pPr>
            <w:r w:rsidRPr="00B82EBB">
              <w:rPr>
                <w:b/>
                <w:szCs w:val="24"/>
              </w:rPr>
              <w:t>5</w:t>
            </w:r>
          </w:p>
        </w:tc>
      </w:tr>
      <w:tr w:rsidR="009006DC" w:rsidRPr="00B82EBB" w:rsidTr="00465F4B">
        <w:trPr>
          <w:gridAfter w:val="1"/>
          <w:wAfter w:w="270" w:type="dxa"/>
        </w:trPr>
        <w:tc>
          <w:tcPr>
            <w:tcW w:w="11448" w:type="dxa"/>
            <w:gridSpan w:val="3"/>
          </w:tcPr>
          <w:p w:rsidR="009006DC" w:rsidRPr="00D21879" w:rsidRDefault="009006DC" w:rsidP="009006DC">
            <w:pPr>
              <w:rPr>
                <w:szCs w:val="24"/>
              </w:rPr>
            </w:pPr>
            <w:r w:rsidRPr="00D21879">
              <w:rPr>
                <w:szCs w:val="24"/>
              </w:rPr>
              <w:t xml:space="preserve">1.  Does the content </w:t>
            </w:r>
            <w:r w:rsidRPr="00D21879">
              <w:rPr>
                <w:b/>
                <w:szCs w:val="24"/>
              </w:rPr>
              <w:t>appeal to its specified audience</w:t>
            </w:r>
            <w:r w:rsidRPr="00D21879">
              <w:rPr>
                <w:szCs w:val="24"/>
              </w:rPr>
              <w:t>? Does it indicate specific categories of archivists and/or levels of expertise to assist potential participants in determining the workshop's relevance for them?</w:t>
            </w:r>
          </w:p>
          <w:p w:rsidR="009006DC" w:rsidRPr="00D21879" w:rsidRDefault="009006DC" w:rsidP="00CD09B7">
            <w:pPr>
              <w:rPr>
                <w:szCs w:val="24"/>
              </w:rPr>
            </w:pPr>
            <w:r w:rsidRPr="00D21879">
              <w:rPr>
                <w:szCs w:val="24"/>
              </w:rPr>
              <w:t xml:space="preserve">Comments: </w:t>
            </w:r>
            <w:r w:rsidR="009D5AA1">
              <w:rPr>
                <w:szCs w:val="24"/>
              </w:rPr>
              <w:t>Yes</w:t>
            </w:r>
            <w:r w:rsidR="00CD09B7">
              <w:rPr>
                <w:szCs w:val="24"/>
              </w:rPr>
              <w:t xml:space="preserve"> – it is specific in this regard</w:t>
            </w:r>
            <w:r w:rsidR="009D5AA1">
              <w:rPr>
                <w:szCs w:val="24"/>
              </w:rPr>
              <w:t>.</w:t>
            </w:r>
            <w:r w:rsidRPr="00D21879">
              <w:rPr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D5AA1" w:rsidP="009006DC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63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</w:tr>
      <w:tr w:rsidR="009006DC" w:rsidRPr="00B82EBB" w:rsidTr="00465F4B">
        <w:trPr>
          <w:gridAfter w:val="1"/>
          <w:wAfter w:w="270" w:type="dxa"/>
        </w:trPr>
        <w:tc>
          <w:tcPr>
            <w:tcW w:w="11448" w:type="dxa"/>
            <w:gridSpan w:val="3"/>
          </w:tcPr>
          <w:p w:rsidR="009006DC" w:rsidRPr="00D21879" w:rsidRDefault="009006DC" w:rsidP="009006DC">
            <w:pPr>
              <w:rPr>
                <w:szCs w:val="24"/>
              </w:rPr>
            </w:pPr>
            <w:r w:rsidRPr="00D21879">
              <w:rPr>
                <w:szCs w:val="24"/>
              </w:rPr>
              <w:t xml:space="preserve">2. To what extent does the subject matter </w:t>
            </w:r>
            <w:r w:rsidRPr="00D21879">
              <w:rPr>
                <w:b/>
                <w:szCs w:val="24"/>
              </w:rPr>
              <w:t>reflect current archival practices</w:t>
            </w:r>
            <w:r w:rsidRPr="00D21879">
              <w:rPr>
                <w:szCs w:val="24"/>
              </w:rPr>
              <w:t xml:space="preserve"> and theory commonly accepted in the profession?</w:t>
            </w:r>
          </w:p>
          <w:p w:rsidR="009006DC" w:rsidRPr="00D21879" w:rsidRDefault="009006DC" w:rsidP="009006DC">
            <w:pPr>
              <w:rPr>
                <w:szCs w:val="24"/>
              </w:rPr>
            </w:pPr>
            <w:r w:rsidRPr="00D21879">
              <w:rPr>
                <w:szCs w:val="24"/>
              </w:rPr>
              <w:t>Comments:</w:t>
            </w:r>
            <w:r w:rsidR="009D5AA1">
              <w:rPr>
                <w:szCs w:val="24"/>
              </w:rPr>
              <w:t xml:space="preserve"> Does not appear to discuss digital photographs.</w:t>
            </w: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D5AA1" w:rsidP="009006DC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63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</w:tr>
      <w:tr w:rsidR="009006DC" w:rsidRPr="00B82EBB" w:rsidTr="00465F4B">
        <w:trPr>
          <w:gridAfter w:val="1"/>
          <w:wAfter w:w="270" w:type="dxa"/>
          <w:trHeight w:val="1214"/>
        </w:trPr>
        <w:tc>
          <w:tcPr>
            <w:tcW w:w="11448" w:type="dxa"/>
            <w:gridSpan w:val="3"/>
          </w:tcPr>
          <w:p w:rsidR="009006DC" w:rsidRPr="00D21879" w:rsidRDefault="009006DC" w:rsidP="009006DC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  <w:r w:rsidRPr="00D21879">
              <w:rPr>
                <w:szCs w:val="24"/>
              </w:rPr>
              <w:t xml:space="preserve">. How </w:t>
            </w:r>
            <w:r w:rsidRPr="00D21879">
              <w:rPr>
                <w:b/>
                <w:szCs w:val="24"/>
              </w:rPr>
              <w:t>relevant/appropriate are the teaching and delivery methodologies</w:t>
            </w:r>
            <w:r w:rsidRPr="00D21879">
              <w:rPr>
                <w:szCs w:val="24"/>
              </w:rPr>
              <w:t xml:space="preserve"> (lecture, video, PowerPoint, exercises, film, audiotape, discussion, simulation, case study, opportunities for in-course feedback, etc.) to the articulated goals and objectives, and to the content?"</w:t>
            </w:r>
          </w:p>
          <w:p w:rsidR="009006DC" w:rsidRPr="00D21879" w:rsidRDefault="009006DC" w:rsidP="009006DC">
            <w:pPr>
              <w:rPr>
                <w:szCs w:val="24"/>
              </w:rPr>
            </w:pPr>
            <w:r w:rsidRPr="00D21879">
              <w:rPr>
                <w:szCs w:val="24"/>
              </w:rPr>
              <w:t>Comments:</w:t>
            </w:r>
            <w:r w:rsidR="009D5AA1">
              <w:rPr>
                <w:szCs w:val="24"/>
              </w:rPr>
              <w:t xml:space="preserve"> The focus on exercises is helpful.</w:t>
            </w: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D5AA1" w:rsidP="009006DC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63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</w:tr>
      <w:tr w:rsidR="009006DC" w:rsidRPr="00B82EBB" w:rsidTr="00465F4B">
        <w:trPr>
          <w:gridAfter w:val="1"/>
          <w:wAfter w:w="270" w:type="dxa"/>
        </w:trPr>
        <w:tc>
          <w:tcPr>
            <w:tcW w:w="11448" w:type="dxa"/>
            <w:gridSpan w:val="3"/>
          </w:tcPr>
          <w:p w:rsidR="009006DC" w:rsidRPr="00D21879" w:rsidRDefault="009006DC" w:rsidP="009006DC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D21879">
              <w:rPr>
                <w:szCs w:val="24"/>
              </w:rPr>
              <w:t xml:space="preserve">. How workable is the </w:t>
            </w:r>
            <w:r w:rsidRPr="00D21879">
              <w:rPr>
                <w:b/>
                <w:szCs w:val="24"/>
              </w:rPr>
              <w:t xml:space="preserve">time line </w:t>
            </w:r>
            <w:r w:rsidRPr="00D21879">
              <w:rPr>
                <w:szCs w:val="24"/>
              </w:rPr>
              <w:t>or</w:t>
            </w:r>
            <w:r w:rsidRPr="00D21879">
              <w:rPr>
                <w:b/>
                <w:szCs w:val="24"/>
              </w:rPr>
              <w:t xml:space="preserve"> agenda </w:t>
            </w:r>
            <w:r w:rsidRPr="00D21879">
              <w:rPr>
                <w:szCs w:val="24"/>
              </w:rPr>
              <w:t>for the course?  Is there sufficient detail to indicate how the workshop will evolve? Does it allow sufficient time for active engagement between course participants and the instructor(s)?</w:t>
            </w:r>
          </w:p>
          <w:p w:rsidR="009006DC" w:rsidRPr="00D21879" w:rsidRDefault="009006DC" w:rsidP="009006DC">
            <w:pPr>
              <w:rPr>
                <w:szCs w:val="24"/>
              </w:rPr>
            </w:pPr>
            <w:r w:rsidRPr="00D21879">
              <w:rPr>
                <w:szCs w:val="24"/>
              </w:rPr>
              <w:t xml:space="preserve">Comments:  </w:t>
            </w: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D5AA1" w:rsidP="009006DC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63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</w:tr>
      <w:tr w:rsidR="009006DC" w:rsidRPr="00B82EBB" w:rsidTr="00465F4B">
        <w:trPr>
          <w:gridAfter w:val="1"/>
          <w:wAfter w:w="270" w:type="dxa"/>
        </w:trPr>
        <w:tc>
          <w:tcPr>
            <w:tcW w:w="11448" w:type="dxa"/>
            <w:gridSpan w:val="3"/>
          </w:tcPr>
          <w:p w:rsidR="009006DC" w:rsidRPr="00D21879" w:rsidRDefault="009006DC" w:rsidP="009006DC">
            <w:pPr>
              <w:tabs>
                <w:tab w:val="left" w:pos="369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D21879">
              <w:rPr>
                <w:szCs w:val="24"/>
              </w:rPr>
              <w:t xml:space="preserve">. To what degree does the </w:t>
            </w:r>
            <w:r w:rsidRPr="00D21879">
              <w:rPr>
                <w:b/>
                <w:szCs w:val="24"/>
              </w:rPr>
              <w:t>list of assigned readings</w:t>
            </w:r>
            <w:r w:rsidRPr="00D21879">
              <w:rPr>
                <w:szCs w:val="24"/>
              </w:rPr>
              <w:t xml:space="preserve"> support the content of the proposal?</w:t>
            </w:r>
          </w:p>
          <w:p w:rsidR="009006DC" w:rsidRPr="00D21879" w:rsidRDefault="009006DC" w:rsidP="009006DC">
            <w:pPr>
              <w:rPr>
                <w:szCs w:val="24"/>
              </w:rPr>
            </w:pPr>
            <w:r w:rsidRPr="00D21879">
              <w:rPr>
                <w:szCs w:val="24"/>
              </w:rPr>
              <w:t xml:space="preserve">Comments: </w:t>
            </w:r>
            <w:r w:rsidR="00CD09B7">
              <w:rPr>
                <w:szCs w:val="24"/>
              </w:rPr>
              <w:t>N/A</w:t>
            </w:r>
            <w:r w:rsidRPr="00D21879">
              <w:rPr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63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</w:tr>
      <w:tr w:rsidR="009006DC" w:rsidRPr="00B82EBB" w:rsidTr="00465F4B">
        <w:trPr>
          <w:gridAfter w:val="1"/>
          <w:wAfter w:w="270" w:type="dxa"/>
        </w:trPr>
        <w:tc>
          <w:tcPr>
            <w:tcW w:w="11448" w:type="dxa"/>
            <w:gridSpan w:val="3"/>
          </w:tcPr>
          <w:p w:rsidR="009006DC" w:rsidRDefault="009006DC" w:rsidP="00465F4B">
            <w:pPr>
              <w:tabs>
                <w:tab w:val="left" w:pos="3690"/>
              </w:tabs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D21879">
              <w:rPr>
                <w:szCs w:val="24"/>
              </w:rPr>
              <w:t>. Does the presentation support the Learning Outcomes</w:t>
            </w:r>
            <w:r>
              <w:rPr>
                <w:szCs w:val="24"/>
              </w:rPr>
              <w:t xml:space="preserve"> in the descriptions</w:t>
            </w:r>
            <w:r w:rsidRPr="00D21879">
              <w:rPr>
                <w:szCs w:val="24"/>
              </w:rPr>
              <w:t>?</w:t>
            </w:r>
          </w:p>
          <w:p w:rsidR="00465F4B" w:rsidRPr="00D21879" w:rsidRDefault="00465F4B" w:rsidP="00465F4B">
            <w:pPr>
              <w:tabs>
                <w:tab w:val="left" w:pos="3690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Comments:</w:t>
            </w:r>
            <w:r w:rsidR="00CD09B7">
              <w:rPr>
                <w:szCs w:val="24"/>
              </w:rPr>
              <w:t xml:space="preserve"> Unknown.</w:t>
            </w: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63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</w:tr>
      <w:tr w:rsidR="009006DC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14490" w:type="dxa"/>
            <w:gridSpan w:val="8"/>
            <w:tcMar>
              <w:left w:w="0" w:type="dxa"/>
              <w:right w:w="0" w:type="dxa"/>
            </w:tcMar>
            <w:vAlign w:val="center"/>
          </w:tcPr>
          <w:p w:rsidR="009006DC" w:rsidRPr="00465F4B" w:rsidRDefault="00465F4B" w:rsidP="001E4DD9">
            <w:pPr>
              <w:rPr>
                <w:b/>
                <w:sz w:val="40"/>
                <w:szCs w:val="40"/>
              </w:rPr>
            </w:pPr>
            <w:r w:rsidRPr="00465F4B">
              <w:rPr>
                <w:b/>
                <w:sz w:val="40"/>
                <w:szCs w:val="40"/>
              </w:rPr>
              <w:lastRenderedPageBreak/>
              <w:t>A&amp;D Track Considerations</w:t>
            </w:r>
          </w:p>
        </w:tc>
      </w:tr>
      <w:tr w:rsidR="00941324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  <w:trHeight w:val="520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941324" w:rsidRPr="00941324" w:rsidRDefault="00941324" w:rsidP="00941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941324">
              <w:rPr>
                <w:sz w:val="22"/>
                <w:szCs w:val="22"/>
              </w:rPr>
              <w:t xml:space="preserve">Does this content bridge, enhance, and/or build on other workshops  (If so, please name) 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941324" w:rsidRDefault="009D5AA1" w:rsidP="00DE536E">
            <w:r>
              <w:t xml:space="preserve"> </w:t>
            </w:r>
            <w:r w:rsidR="00DE536E">
              <w:t>No other A&amp;D workshops, except to the extent that it examines original order as relating to photograph collections.</w:t>
            </w:r>
            <w:r>
              <w:t xml:space="preserve"> </w:t>
            </w:r>
          </w:p>
        </w:tc>
      </w:tr>
      <w:tr w:rsidR="00941324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  <w:trHeight w:val="520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941324" w:rsidRPr="00941324" w:rsidRDefault="00941324" w:rsidP="009413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941324">
              <w:rPr>
                <w:sz w:val="22"/>
                <w:szCs w:val="22"/>
              </w:rPr>
              <w:t>Does this build on other workshops not on the list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941324" w:rsidRDefault="009D5AA1" w:rsidP="00DE536E">
            <w:r>
              <w:t xml:space="preserve"> </w:t>
            </w:r>
            <w:r w:rsidR="00DE536E">
              <w:t>It’s clearly stated that this workshop is intended as a follow-up course to the introductory “Understanding Photographs” course.</w:t>
            </w:r>
          </w:p>
        </w:tc>
      </w:tr>
      <w:tr w:rsidR="00294A94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  <w:trHeight w:val="520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294A94" w:rsidRPr="00941324" w:rsidRDefault="00941324" w:rsidP="001E4DD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94A94" w:rsidRPr="00941324">
              <w:rPr>
                <w:sz w:val="22"/>
                <w:szCs w:val="22"/>
              </w:rPr>
              <w:t xml:space="preserve"> Should this be part of the A&amp;D Track?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294A94" w:rsidRDefault="009D5AA1" w:rsidP="005B7E5E">
            <w:r>
              <w:t xml:space="preserve"> </w:t>
            </w:r>
            <w:r w:rsidR="005B7E5E">
              <w:t>No</w:t>
            </w:r>
            <w:r>
              <w:t xml:space="preserve">. There </w:t>
            </w:r>
            <w:r w:rsidR="005B7E5E">
              <w:t xml:space="preserve">is a slight </w:t>
            </w:r>
            <w:r>
              <w:t>focus on photo management practices and the examination of the meaning of</w:t>
            </w:r>
            <w:r w:rsidR="005B7E5E">
              <w:t xml:space="preserve"> original order for photographs, but the bulk of class time is dedicated to understanding </w:t>
            </w:r>
            <w:r w:rsidR="00DE536E">
              <w:t>media and interpretation of photographs, rather than their management. In order for this course to fit with the A&amp;D track, the focus on management of collections would need to be significantly expanded.</w:t>
            </w:r>
          </w:p>
        </w:tc>
      </w:tr>
      <w:tr w:rsidR="005C53E1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  <w:trHeight w:val="520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1E4DD9" w:rsidRPr="00941324" w:rsidRDefault="00941324" w:rsidP="0094132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 w:rsidR="001E4DD9" w:rsidRPr="00941324">
              <w:rPr>
                <w:color w:val="000000"/>
                <w:sz w:val="22"/>
                <w:szCs w:val="22"/>
              </w:rPr>
              <w:t xml:space="preserve">Where </w:t>
            </w:r>
            <w:r w:rsidR="00445E46" w:rsidRPr="00941324">
              <w:rPr>
                <w:color w:val="000000"/>
                <w:sz w:val="22"/>
                <w:szCs w:val="22"/>
              </w:rPr>
              <w:t>would</w:t>
            </w:r>
            <w:r w:rsidR="001E4DD9" w:rsidRPr="00941324">
              <w:rPr>
                <w:color w:val="000000"/>
                <w:sz w:val="22"/>
                <w:szCs w:val="22"/>
              </w:rPr>
              <w:t xml:space="preserve"> this workshop fall in the sequence of </w:t>
            </w:r>
            <w:r w:rsidR="00A5505B" w:rsidRPr="00941324">
              <w:rPr>
                <w:color w:val="000000"/>
                <w:sz w:val="22"/>
                <w:szCs w:val="22"/>
              </w:rPr>
              <w:t xml:space="preserve">an A&amp;D </w:t>
            </w:r>
            <w:r w:rsidR="001E4DD9" w:rsidRPr="00941324">
              <w:rPr>
                <w:color w:val="000000"/>
                <w:sz w:val="22"/>
                <w:szCs w:val="22"/>
              </w:rPr>
              <w:t xml:space="preserve"> track?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5C53E1" w:rsidRDefault="009D5AA1" w:rsidP="001325FE">
            <w:r>
              <w:t xml:space="preserve"> Hard to say, since it is media-specific. Perhaps as a format-specific elective.</w:t>
            </w:r>
          </w:p>
        </w:tc>
      </w:tr>
      <w:tr w:rsidR="00941324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941324" w:rsidRPr="00941324" w:rsidRDefault="00941324" w:rsidP="00402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Why?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941324" w:rsidRDefault="009D5AA1" w:rsidP="001E4DD9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5C53E1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5C53E1" w:rsidRPr="00941324" w:rsidRDefault="00941324" w:rsidP="0040209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946939" w:rsidRPr="00941324">
              <w:rPr>
                <w:color w:val="000000"/>
                <w:sz w:val="22"/>
                <w:szCs w:val="22"/>
              </w:rPr>
              <w:t xml:space="preserve">. </w:t>
            </w:r>
            <w:r w:rsidR="00445E46" w:rsidRPr="00941324">
              <w:rPr>
                <w:color w:val="000000"/>
                <w:sz w:val="22"/>
                <w:szCs w:val="22"/>
              </w:rPr>
              <w:t>What tier does this works</w:t>
            </w:r>
            <w:r w:rsidR="0040209A" w:rsidRPr="00941324">
              <w:rPr>
                <w:color w:val="000000"/>
                <w:sz w:val="22"/>
                <w:szCs w:val="22"/>
              </w:rPr>
              <w:t>hop fall in?  (See attached tiers)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5C53E1" w:rsidRDefault="005B7E5E" w:rsidP="001E4DD9">
            <w:r>
              <w:t xml:space="preserve"> Tactical and Strategic (TST)</w:t>
            </w:r>
          </w:p>
        </w:tc>
      </w:tr>
      <w:tr w:rsidR="005C53E1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5C53E1" w:rsidRPr="00941324" w:rsidRDefault="00941324" w:rsidP="001E4DD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946939" w:rsidRPr="00941324">
              <w:rPr>
                <w:color w:val="000000"/>
                <w:sz w:val="22"/>
                <w:szCs w:val="22"/>
              </w:rPr>
              <w:t xml:space="preserve">. </w:t>
            </w:r>
            <w:r w:rsidR="005C53E1" w:rsidRPr="00941324">
              <w:rPr>
                <w:color w:val="000000"/>
                <w:sz w:val="22"/>
                <w:szCs w:val="22"/>
              </w:rPr>
              <w:t>Target Audience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5C53E1" w:rsidRPr="00CD09B7" w:rsidRDefault="006373D2" w:rsidP="001E4DD9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E536E" w:rsidRPr="00CD09B7">
              <w:rPr>
                <w:szCs w:val="24"/>
              </w:rPr>
              <w:t>Archivists who work with photograph collections and researchers wishing to learn about photographs.</w:t>
            </w:r>
          </w:p>
        </w:tc>
      </w:tr>
      <w:tr w:rsidR="005C53E1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944BBE" w:rsidRPr="00941324" w:rsidRDefault="00941324" w:rsidP="00944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46939" w:rsidRPr="00941324">
              <w:rPr>
                <w:sz w:val="22"/>
                <w:szCs w:val="22"/>
              </w:rPr>
              <w:t xml:space="preserve">. </w:t>
            </w:r>
            <w:r w:rsidR="00944BBE" w:rsidRPr="00941324">
              <w:rPr>
                <w:sz w:val="22"/>
                <w:szCs w:val="22"/>
              </w:rPr>
              <w:t>Is the suggested prior “experience/knowledge</w:t>
            </w:r>
            <w:r>
              <w:rPr>
                <w:sz w:val="22"/>
                <w:szCs w:val="22"/>
              </w:rPr>
              <w:t>”</w:t>
            </w:r>
            <w:r w:rsidR="00944BBE" w:rsidRPr="00941324">
              <w:rPr>
                <w:sz w:val="22"/>
                <w:szCs w:val="22"/>
              </w:rPr>
              <w:t xml:space="preserve"> appropriate?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5C53E1" w:rsidRDefault="006373D2" w:rsidP="006373D2">
            <w:r>
              <w:t xml:space="preserve"> Yes.</w:t>
            </w:r>
          </w:p>
        </w:tc>
      </w:tr>
      <w:tr w:rsidR="005C53E1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941324" w:rsidRDefault="00941324" w:rsidP="001E4D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946939" w:rsidRPr="00941324">
              <w:rPr>
                <w:color w:val="000000"/>
                <w:sz w:val="22"/>
                <w:szCs w:val="22"/>
              </w:rPr>
              <w:t xml:space="preserve">. </w:t>
            </w:r>
            <w:r w:rsidR="005C53E1" w:rsidRPr="00941324">
              <w:rPr>
                <w:color w:val="000000"/>
                <w:sz w:val="22"/>
                <w:szCs w:val="22"/>
              </w:rPr>
              <w:t>Learning Outcomes</w:t>
            </w:r>
            <w:r w:rsidR="0040209A" w:rsidRPr="00941324">
              <w:rPr>
                <w:color w:val="000000"/>
                <w:sz w:val="22"/>
                <w:szCs w:val="22"/>
              </w:rPr>
              <w:t xml:space="preserve">:  </w:t>
            </w:r>
          </w:p>
          <w:p w:rsidR="00014D40" w:rsidRPr="00941324" w:rsidRDefault="0040209A" w:rsidP="001E4DD9">
            <w:pPr>
              <w:rPr>
                <w:color w:val="000000"/>
                <w:sz w:val="22"/>
                <w:szCs w:val="22"/>
              </w:rPr>
            </w:pPr>
            <w:r w:rsidRPr="00941324">
              <w:rPr>
                <w:color w:val="000000"/>
                <w:sz w:val="22"/>
                <w:szCs w:val="22"/>
              </w:rPr>
              <w:t>Are they appropriate</w:t>
            </w:r>
            <w:r w:rsidR="00941324">
              <w:rPr>
                <w:color w:val="000000"/>
                <w:sz w:val="22"/>
                <w:szCs w:val="22"/>
              </w:rPr>
              <w:t xml:space="preserve"> and/or </w:t>
            </w:r>
            <w:r w:rsidR="00014D40" w:rsidRPr="00941324">
              <w:rPr>
                <w:color w:val="000000"/>
                <w:sz w:val="22"/>
                <w:szCs w:val="22"/>
              </w:rPr>
              <w:t>relevant</w:t>
            </w:r>
            <w:r w:rsidRPr="00941324">
              <w:rPr>
                <w:color w:val="000000"/>
                <w:sz w:val="22"/>
                <w:szCs w:val="22"/>
              </w:rPr>
              <w:t xml:space="preserve">?  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DE536E" w:rsidRDefault="00DE536E" w:rsidP="00DE536E">
            <w:pPr>
              <w:pStyle w:val="ListParagraph"/>
              <w:numPr>
                <w:ilvl w:val="0"/>
                <w:numId w:val="11"/>
              </w:numPr>
            </w:pPr>
            <w:r>
              <w:t>Have examined visual literacy in-depth and learned to apply this information in practical ways to arrange &amp; describe photograph collections.</w:t>
            </w:r>
            <w:r w:rsidR="006373D2">
              <w:t xml:space="preserve"> [Yes]</w:t>
            </w:r>
          </w:p>
          <w:p w:rsidR="00DE536E" w:rsidRDefault="00DE536E" w:rsidP="00DE536E">
            <w:pPr>
              <w:numPr>
                <w:ilvl w:val="0"/>
                <w:numId w:val="10"/>
              </w:numPr>
            </w:pPr>
            <w:r>
              <w:t xml:space="preserve">Be aware of the photograph as a physical artifact. </w:t>
            </w:r>
            <w:r w:rsidR="006373D2">
              <w:t>[Yes]</w:t>
            </w:r>
          </w:p>
          <w:p w:rsidR="00DE536E" w:rsidRDefault="00DE536E" w:rsidP="00DE536E">
            <w:pPr>
              <w:numPr>
                <w:ilvl w:val="0"/>
                <w:numId w:val="10"/>
              </w:numPr>
            </w:pPr>
            <w:r>
              <w:t>Know about the importance of the concept of object and image in collection management and the difference between physical order and intellectual order.</w:t>
            </w:r>
            <w:r w:rsidR="006373D2">
              <w:t xml:space="preserve"> [Yes; could just elaboration]</w:t>
            </w:r>
          </w:p>
          <w:p w:rsidR="00DE536E" w:rsidRDefault="00DE536E" w:rsidP="00DE536E">
            <w:pPr>
              <w:numPr>
                <w:ilvl w:val="0"/>
                <w:numId w:val="10"/>
              </w:numPr>
            </w:pPr>
            <w:r>
              <w:t>Comprehend the intellectual an</w:t>
            </w:r>
            <w:r w:rsidR="006373D2">
              <w:t>d social nature of photographs. [Not as relevant as other objectives]</w:t>
            </w:r>
          </w:p>
          <w:p w:rsidR="00DE536E" w:rsidRDefault="00DE536E" w:rsidP="00DE536E">
            <w:pPr>
              <w:numPr>
                <w:ilvl w:val="0"/>
                <w:numId w:val="10"/>
              </w:numPr>
            </w:pPr>
            <w:r>
              <w:t>Understand photographic messages, the complex collective life of photographs, and how the photographic information can be obscured or changed over time.</w:t>
            </w:r>
            <w:r w:rsidR="006373D2">
              <w:t xml:space="preserve"> [Yes, but not as relevant as other objectives]</w:t>
            </w:r>
          </w:p>
          <w:p w:rsidR="00DE536E" w:rsidRDefault="00DE536E" w:rsidP="00DE536E">
            <w:pPr>
              <w:numPr>
                <w:ilvl w:val="0"/>
                <w:numId w:val="10"/>
              </w:numPr>
            </w:pPr>
            <w:r>
              <w:t>Be able to apply this knowledge to managing photo collections to save time and money.</w:t>
            </w:r>
            <w:r w:rsidR="006373D2">
              <w:t xml:space="preserve"> [Yes]</w:t>
            </w:r>
          </w:p>
          <w:p w:rsidR="00DE536E" w:rsidRDefault="00DE536E" w:rsidP="00DE536E"/>
          <w:p w:rsidR="005C53E1" w:rsidRDefault="00DE536E" w:rsidP="00DE536E">
            <w:r>
              <w:t xml:space="preserve"> These learning outcomes seem largely </w:t>
            </w:r>
            <w:r w:rsidR="006373D2">
              <w:t>appropriate, but there could be more of a focus on photo management and less of a focus on the intellectual, social, and message-carrying nature of photographs.</w:t>
            </w:r>
          </w:p>
        </w:tc>
      </w:tr>
      <w:tr w:rsidR="00941324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941324" w:rsidRPr="00941324" w:rsidRDefault="00941324" w:rsidP="009413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9. </w:t>
            </w:r>
            <w:r w:rsidRPr="00941324">
              <w:rPr>
                <w:color w:val="000000"/>
                <w:sz w:val="22"/>
                <w:szCs w:val="22"/>
              </w:rPr>
              <w:t>What should they be?</w:t>
            </w:r>
          </w:p>
          <w:p w:rsidR="00941324" w:rsidRPr="00941324" w:rsidRDefault="00941324" w:rsidP="009469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Please list learning outcomes.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6373D2" w:rsidRDefault="00DE536E" w:rsidP="006373D2">
            <w:pPr>
              <w:pStyle w:val="ListParagraph"/>
              <w:numPr>
                <w:ilvl w:val="0"/>
                <w:numId w:val="11"/>
              </w:numPr>
            </w:pPr>
            <w:r>
              <w:rPr>
                <w:sz w:val="20"/>
              </w:rPr>
              <w:t xml:space="preserve"> </w:t>
            </w:r>
            <w:r w:rsidR="006373D2">
              <w:rPr>
                <w:sz w:val="20"/>
              </w:rPr>
              <w:t xml:space="preserve"> </w:t>
            </w:r>
            <w:r w:rsidR="006373D2">
              <w:t>Have examined visual literacy in-depth and learned to apply this information in practical ways to arrange &amp; describe photograph collections.</w:t>
            </w:r>
          </w:p>
          <w:p w:rsidR="006373D2" w:rsidRDefault="006373D2" w:rsidP="006373D2">
            <w:pPr>
              <w:numPr>
                <w:ilvl w:val="0"/>
                <w:numId w:val="10"/>
              </w:numPr>
            </w:pPr>
            <w:r>
              <w:t>Be aware of the photograph as a physical artifact.</w:t>
            </w:r>
          </w:p>
          <w:p w:rsidR="006373D2" w:rsidRDefault="006373D2" w:rsidP="006373D2">
            <w:pPr>
              <w:numPr>
                <w:ilvl w:val="0"/>
                <w:numId w:val="10"/>
              </w:numPr>
            </w:pPr>
            <w:r>
              <w:lastRenderedPageBreak/>
              <w:t>Know about the importance of the concept of object and image in collection management.</w:t>
            </w:r>
          </w:p>
          <w:p w:rsidR="006373D2" w:rsidRDefault="006373D2" w:rsidP="006373D2">
            <w:pPr>
              <w:numPr>
                <w:ilvl w:val="0"/>
                <w:numId w:val="10"/>
              </w:numPr>
            </w:pPr>
            <w:r>
              <w:t>Distinguish the difference between physical order and intellectual order as it pertains to the management of photograph collections.</w:t>
            </w:r>
          </w:p>
          <w:p w:rsidR="006373D2" w:rsidRDefault="006373D2" w:rsidP="006373D2">
            <w:pPr>
              <w:numPr>
                <w:ilvl w:val="0"/>
                <w:numId w:val="10"/>
              </w:numPr>
            </w:pPr>
            <w:r>
              <w:t xml:space="preserve">Understand photographic messages, the complex collective life of photographs, and how the photographic information can be obscured or changed over time. </w:t>
            </w:r>
          </w:p>
          <w:p w:rsidR="006373D2" w:rsidRDefault="006373D2" w:rsidP="006373D2">
            <w:pPr>
              <w:numPr>
                <w:ilvl w:val="0"/>
                <w:numId w:val="10"/>
              </w:numPr>
            </w:pPr>
            <w:r>
              <w:t xml:space="preserve">Be able to apply this knowledge to managing photo collections to save time and money. </w:t>
            </w:r>
          </w:p>
          <w:p w:rsidR="00941324" w:rsidRDefault="00941324" w:rsidP="00946939">
            <w:pPr>
              <w:rPr>
                <w:sz w:val="20"/>
              </w:rPr>
            </w:pPr>
          </w:p>
        </w:tc>
      </w:tr>
      <w:tr w:rsidR="009006DC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9006DC" w:rsidRDefault="009006DC" w:rsidP="00941324">
            <w:pPr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lastRenderedPageBreak/>
              <w:t xml:space="preserve">10. Can you make suggestions for competencies this workshop would fulfill? 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9006DC" w:rsidRPr="006373D2" w:rsidRDefault="006373D2" w:rsidP="00946939">
            <w:pPr>
              <w:rPr>
                <w:szCs w:val="24"/>
              </w:rPr>
            </w:pPr>
            <w:r>
              <w:rPr>
                <w:sz w:val="20"/>
              </w:rPr>
              <w:t xml:space="preserve"> </w:t>
            </w:r>
            <w:r>
              <w:rPr>
                <w:szCs w:val="24"/>
              </w:rPr>
              <w:t xml:space="preserve">Photograph identification; arrangement and description of photographic materials; </w:t>
            </w:r>
            <w:r w:rsidR="004F3463">
              <w:rPr>
                <w:szCs w:val="24"/>
              </w:rPr>
              <w:t>collection management of mixed-format collections.</w:t>
            </w:r>
          </w:p>
        </w:tc>
      </w:tr>
      <w:tr w:rsidR="00946939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946939" w:rsidRPr="00941324" w:rsidRDefault="009006DC" w:rsidP="0094132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946939" w:rsidRPr="00941324">
              <w:rPr>
                <w:color w:val="000000"/>
                <w:sz w:val="22"/>
                <w:szCs w:val="22"/>
              </w:rPr>
              <w:t xml:space="preserve">. Would parts of the content lend themselves to a different format? 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01"/>
              <w:gridCol w:w="5502"/>
            </w:tblGrid>
            <w:tr w:rsidR="00946939" w:rsidTr="00946939">
              <w:tc>
                <w:tcPr>
                  <w:tcW w:w="5501" w:type="dxa"/>
                </w:tcPr>
                <w:p w:rsidR="00946939" w:rsidRDefault="00946939" w:rsidP="0094693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Check one: Webinar:</w:t>
                  </w:r>
                </w:p>
                <w:p w:rsidR="00946939" w:rsidRPr="004F3463" w:rsidRDefault="004F3463" w:rsidP="004F3463">
                  <w:pPr>
                    <w:ind w:left="36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X    </w:t>
                  </w:r>
                  <w:r w:rsidR="00946939" w:rsidRPr="004F3463">
                    <w:rPr>
                      <w:sz w:val="20"/>
                    </w:rPr>
                    <w:t xml:space="preserve">30 minute </w:t>
                  </w:r>
                </w:p>
                <w:p w:rsidR="00946939" w:rsidRPr="00E56AE2" w:rsidRDefault="00946939" w:rsidP="0094693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0"/>
                    </w:rPr>
                  </w:pPr>
                  <w:r w:rsidRPr="00E56AE2">
                    <w:rPr>
                      <w:sz w:val="20"/>
                    </w:rPr>
                    <w:t>90minute</w:t>
                  </w:r>
                </w:p>
                <w:p w:rsidR="00946939" w:rsidRDefault="00946939" w:rsidP="00946939">
                  <w:pPr>
                    <w:rPr>
                      <w:sz w:val="20"/>
                    </w:rPr>
                  </w:pPr>
                </w:p>
              </w:tc>
              <w:tc>
                <w:tcPr>
                  <w:tcW w:w="5502" w:type="dxa"/>
                </w:tcPr>
                <w:p w:rsidR="00946939" w:rsidRDefault="00946939" w:rsidP="0094693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In person:</w:t>
                  </w:r>
                </w:p>
                <w:p w:rsidR="00946939" w:rsidRPr="00E56AE2" w:rsidRDefault="00946939" w:rsidP="0094693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0"/>
                    </w:rPr>
                  </w:pPr>
                  <w:r w:rsidRPr="00E56AE2">
                    <w:rPr>
                      <w:sz w:val="20"/>
                    </w:rPr>
                    <w:t xml:space="preserve">1/2 day  </w:t>
                  </w:r>
                </w:p>
                <w:p w:rsidR="00946939" w:rsidRPr="00E56AE2" w:rsidRDefault="00946939" w:rsidP="0094693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0"/>
                    </w:rPr>
                  </w:pPr>
                  <w:r w:rsidRPr="00E56AE2">
                    <w:rPr>
                      <w:sz w:val="20"/>
                    </w:rPr>
                    <w:t xml:space="preserve">1 day </w:t>
                  </w:r>
                </w:p>
                <w:p w:rsidR="00946939" w:rsidRPr="00E56AE2" w:rsidRDefault="00946939" w:rsidP="0094693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0"/>
                    </w:rPr>
                  </w:pPr>
                  <w:r w:rsidRPr="00E56AE2">
                    <w:rPr>
                      <w:sz w:val="20"/>
                    </w:rPr>
                    <w:t>2 day</w:t>
                  </w:r>
                </w:p>
              </w:tc>
            </w:tr>
          </w:tbl>
          <w:p w:rsidR="00946939" w:rsidRDefault="00946939" w:rsidP="00946939"/>
        </w:tc>
      </w:tr>
      <w:tr w:rsidR="00946939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946939" w:rsidRPr="00941324" w:rsidRDefault="009006DC" w:rsidP="001E4DD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41324" w:rsidRPr="00941324">
              <w:rPr>
                <w:sz w:val="22"/>
                <w:szCs w:val="22"/>
              </w:rPr>
              <w:t xml:space="preserve">. </w:t>
            </w:r>
            <w:r w:rsidR="00946939" w:rsidRPr="00941324">
              <w:rPr>
                <w:sz w:val="22"/>
                <w:szCs w:val="22"/>
              </w:rPr>
              <w:t>Which parts?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946939" w:rsidRDefault="004F3463" w:rsidP="004F3463">
            <w:r>
              <w:t xml:space="preserve"> The section(s) on identification of types of prints could perhaps be condensed into a webinar. This wouldn’t be as robust without the in-class exercises, but the basics and content could probably still be transmitted in the webinar format.</w:t>
            </w:r>
          </w:p>
        </w:tc>
      </w:tr>
      <w:tr w:rsidR="00946939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946939" w:rsidRPr="00941324" w:rsidRDefault="009006DC" w:rsidP="001E4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941324" w:rsidRPr="00941324">
              <w:rPr>
                <w:sz w:val="22"/>
                <w:szCs w:val="22"/>
              </w:rPr>
              <w:t xml:space="preserve">. </w:t>
            </w:r>
            <w:r w:rsidR="00946939" w:rsidRPr="00941324">
              <w:rPr>
                <w:sz w:val="22"/>
                <w:szCs w:val="22"/>
              </w:rPr>
              <w:t>Does it lend itself to repurposing as an audio CD?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946939" w:rsidRDefault="004F3463" w:rsidP="001E4DD9">
            <w:r>
              <w:t xml:space="preserve"> No.</w:t>
            </w:r>
          </w:p>
        </w:tc>
      </w:tr>
      <w:tr w:rsidR="00946939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946939" w:rsidRPr="00941324" w:rsidRDefault="00946939" w:rsidP="001E4DD9">
            <w:pPr>
              <w:rPr>
                <w:sz w:val="22"/>
                <w:szCs w:val="22"/>
              </w:rPr>
            </w:pPr>
            <w:r w:rsidRPr="00941324">
              <w:rPr>
                <w:sz w:val="22"/>
                <w:szCs w:val="22"/>
              </w:rPr>
              <w:t>Which parts?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946939" w:rsidRDefault="00946939" w:rsidP="001E4DD9"/>
        </w:tc>
      </w:tr>
    </w:tbl>
    <w:p w:rsidR="00941324" w:rsidRDefault="00941324" w:rsidP="00CA7DE9">
      <w:pPr>
        <w:rPr>
          <w:sz w:val="32"/>
          <w:szCs w:val="32"/>
        </w:rPr>
      </w:pPr>
    </w:p>
    <w:p w:rsidR="006E4D86" w:rsidRDefault="006E4D86" w:rsidP="00CA7DE9">
      <w:pPr>
        <w:rPr>
          <w:sz w:val="32"/>
          <w:szCs w:val="32"/>
        </w:rPr>
      </w:pPr>
    </w:p>
    <w:p w:rsidR="006E4D86" w:rsidRDefault="006E4D86" w:rsidP="00CA7DE9">
      <w:pPr>
        <w:rPr>
          <w:sz w:val="32"/>
          <w:szCs w:val="32"/>
        </w:rPr>
      </w:pPr>
    </w:p>
    <w:p w:rsidR="006E4D86" w:rsidRDefault="006E4D86" w:rsidP="006E4D86">
      <w:pPr>
        <w:rPr>
          <w:sz w:val="32"/>
          <w:szCs w:val="32"/>
        </w:rPr>
      </w:pPr>
      <w:r>
        <w:rPr>
          <w:sz w:val="32"/>
          <w:szCs w:val="32"/>
        </w:rPr>
        <w:t>Other comments:</w:t>
      </w:r>
    </w:p>
    <w:p w:rsidR="00D4279F" w:rsidRDefault="00D4279F" w:rsidP="006E4D86">
      <w:pPr>
        <w:rPr>
          <w:sz w:val="32"/>
          <w:szCs w:val="32"/>
        </w:rPr>
      </w:pPr>
    </w:p>
    <w:p w:rsidR="006E4D86" w:rsidRPr="00D4279F" w:rsidRDefault="00D4279F" w:rsidP="00CA7DE9">
      <w:pPr>
        <w:rPr>
          <w:szCs w:val="24"/>
        </w:rPr>
      </w:pPr>
      <w:r w:rsidRPr="00D4279F">
        <w:rPr>
          <w:szCs w:val="24"/>
        </w:rPr>
        <w:t>The course focuses, perhaps, too much on the message, meaning, and social context of collections. I would suggest a heavier focus on the process of identification of print processes and a more in-depth discussion of how traditional principles of arrangement and description apply (or not) to photograph collections.</w:t>
      </w:r>
    </w:p>
    <w:sectPr w:rsidR="006E4D86" w:rsidRPr="00D4279F" w:rsidSect="00A63966">
      <w:footerReference w:type="even" r:id="rId10"/>
      <w:footerReference w:type="default" r:id="rId11"/>
      <w:pgSz w:w="15840" w:h="12240" w:orient="landscape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D56" w:rsidRDefault="00E73D56" w:rsidP="001100D1">
      <w:r>
        <w:separator/>
      </w:r>
    </w:p>
  </w:endnote>
  <w:endnote w:type="continuationSeparator" w:id="0">
    <w:p w:rsidR="00E73D56" w:rsidRDefault="00E73D56" w:rsidP="0011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METJV+CenturySchoolbook-Bold">
    <w:altName w:val="Century School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6DC" w:rsidRDefault="009006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006DC" w:rsidRDefault="009006DC">
    <w:pPr>
      <w:pStyle w:val="Footer"/>
    </w:pPr>
  </w:p>
  <w:p w:rsidR="009006DC" w:rsidRDefault="009006D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6DC" w:rsidRDefault="009006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1760">
      <w:rPr>
        <w:rStyle w:val="PageNumber"/>
        <w:noProof/>
      </w:rPr>
      <w:t>2</w:t>
    </w:r>
    <w:r>
      <w:rPr>
        <w:rStyle w:val="PageNumber"/>
      </w:rPr>
      <w:fldChar w:fldCharType="end"/>
    </w:r>
  </w:p>
  <w:p w:rsidR="009006DC" w:rsidRDefault="009006DC" w:rsidP="00445E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D56" w:rsidRDefault="00E73D56" w:rsidP="001100D1">
      <w:r>
        <w:separator/>
      </w:r>
    </w:p>
  </w:footnote>
  <w:footnote w:type="continuationSeparator" w:id="0">
    <w:p w:rsidR="00E73D56" w:rsidRDefault="00E73D56" w:rsidP="00110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4A70"/>
    <w:multiLevelType w:val="hybridMultilevel"/>
    <w:tmpl w:val="7994B448"/>
    <w:lvl w:ilvl="0" w:tplc="4C18B98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A3DE2"/>
    <w:multiLevelType w:val="hybridMultilevel"/>
    <w:tmpl w:val="9AA4FA3E"/>
    <w:lvl w:ilvl="0" w:tplc="AB5801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A0793"/>
    <w:multiLevelType w:val="hybridMultilevel"/>
    <w:tmpl w:val="16BEF6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02777E"/>
    <w:multiLevelType w:val="hybridMultilevel"/>
    <w:tmpl w:val="5CE673B8"/>
    <w:lvl w:ilvl="0" w:tplc="EDA4711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8C6870"/>
    <w:multiLevelType w:val="hybridMultilevel"/>
    <w:tmpl w:val="B290B726"/>
    <w:lvl w:ilvl="0" w:tplc="AB5801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B5338"/>
    <w:multiLevelType w:val="hybridMultilevel"/>
    <w:tmpl w:val="E60021E2"/>
    <w:lvl w:ilvl="0" w:tplc="D68E83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1423B"/>
    <w:multiLevelType w:val="hybridMultilevel"/>
    <w:tmpl w:val="09C04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8572EC"/>
    <w:multiLevelType w:val="hybridMultilevel"/>
    <w:tmpl w:val="1F16D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C57D72"/>
    <w:multiLevelType w:val="hybridMultilevel"/>
    <w:tmpl w:val="BEAA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B5DC4"/>
    <w:multiLevelType w:val="hybridMultilevel"/>
    <w:tmpl w:val="45B0DD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C06425"/>
    <w:multiLevelType w:val="hybridMultilevel"/>
    <w:tmpl w:val="7C68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D1"/>
    <w:rsid w:val="00014D40"/>
    <w:rsid w:val="00016D4D"/>
    <w:rsid w:val="000B4826"/>
    <w:rsid w:val="000D0440"/>
    <w:rsid w:val="000E0084"/>
    <w:rsid w:val="000E227E"/>
    <w:rsid w:val="001100D1"/>
    <w:rsid w:val="00112E8A"/>
    <w:rsid w:val="00123737"/>
    <w:rsid w:val="001325FE"/>
    <w:rsid w:val="00197890"/>
    <w:rsid w:val="001E4DD9"/>
    <w:rsid w:val="00294A94"/>
    <w:rsid w:val="002C5475"/>
    <w:rsid w:val="003A1771"/>
    <w:rsid w:val="003C5ECA"/>
    <w:rsid w:val="003F3BB3"/>
    <w:rsid w:val="0040209A"/>
    <w:rsid w:val="00445E46"/>
    <w:rsid w:val="00465F4B"/>
    <w:rsid w:val="004C062B"/>
    <w:rsid w:val="004F3463"/>
    <w:rsid w:val="004F6C62"/>
    <w:rsid w:val="00510ACD"/>
    <w:rsid w:val="0056541F"/>
    <w:rsid w:val="0059087E"/>
    <w:rsid w:val="005B7E5E"/>
    <w:rsid w:val="005C0F4C"/>
    <w:rsid w:val="005C53E1"/>
    <w:rsid w:val="005F0CCC"/>
    <w:rsid w:val="00612F6E"/>
    <w:rsid w:val="006373D2"/>
    <w:rsid w:val="006D5F69"/>
    <w:rsid w:val="006E4D86"/>
    <w:rsid w:val="006F3D4A"/>
    <w:rsid w:val="007144AC"/>
    <w:rsid w:val="007833C8"/>
    <w:rsid w:val="0079035B"/>
    <w:rsid w:val="008946B3"/>
    <w:rsid w:val="008A79DC"/>
    <w:rsid w:val="009006DC"/>
    <w:rsid w:val="0090363F"/>
    <w:rsid w:val="00921760"/>
    <w:rsid w:val="00941324"/>
    <w:rsid w:val="00944BBE"/>
    <w:rsid w:val="00946939"/>
    <w:rsid w:val="00955A3B"/>
    <w:rsid w:val="009969C0"/>
    <w:rsid w:val="009B766E"/>
    <w:rsid w:val="009D5AA1"/>
    <w:rsid w:val="00A5505B"/>
    <w:rsid w:val="00A63966"/>
    <w:rsid w:val="00A96319"/>
    <w:rsid w:val="00AB3AFE"/>
    <w:rsid w:val="00B82EBB"/>
    <w:rsid w:val="00B95201"/>
    <w:rsid w:val="00BA0172"/>
    <w:rsid w:val="00C27D2E"/>
    <w:rsid w:val="00C76025"/>
    <w:rsid w:val="00C86F09"/>
    <w:rsid w:val="00CA7DE9"/>
    <w:rsid w:val="00CD09B7"/>
    <w:rsid w:val="00CE3E8A"/>
    <w:rsid w:val="00CF5AF7"/>
    <w:rsid w:val="00D21879"/>
    <w:rsid w:val="00D4279F"/>
    <w:rsid w:val="00D42D3C"/>
    <w:rsid w:val="00D701EC"/>
    <w:rsid w:val="00D718EC"/>
    <w:rsid w:val="00DE536E"/>
    <w:rsid w:val="00DF1439"/>
    <w:rsid w:val="00E23733"/>
    <w:rsid w:val="00E30902"/>
    <w:rsid w:val="00E73D56"/>
    <w:rsid w:val="00E90E91"/>
    <w:rsid w:val="00ED2BCE"/>
    <w:rsid w:val="00F401A3"/>
    <w:rsid w:val="00F6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00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0D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1100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00D1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1100D1"/>
  </w:style>
  <w:style w:type="paragraph" w:customStyle="1" w:styleId="Default">
    <w:name w:val="Default"/>
    <w:uiPriority w:val="99"/>
    <w:rsid w:val="001100D1"/>
    <w:pPr>
      <w:widowControl w:val="0"/>
      <w:autoSpaceDE w:val="0"/>
      <w:autoSpaceDN w:val="0"/>
      <w:adjustRightInd w:val="0"/>
      <w:spacing w:after="0" w:line="240" w:lineRule="auto"/>
    </w:pPr>
    <w:rPr>
      <w:rFonts w:ascii="QMETJV+CenturySchoolbook-Bold" w:eastAsia="Cambria" w:hAnsi="QMETJV+CenturySchoolbook-Bold" w:cs="QMETJV+CenturySchoolbook-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100D1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1100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0D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0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A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DF1439"/>
    <w:pPr>
      <w:ind w:left="-720" w:firstLine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F1439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78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00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0D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1100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00D1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1100D1"/>
  </w:style>
  <w:style w:type="paragraph" w:customStyle="1" w:styleId="Default">
    <w:name w:val="Default"/>
    <w:uiPriority w:val="99"/>
    <w:rsid w:val="001100D1"/>
    <w:pPr>
      <w:widowControl w:val="0"/>
      <w:autoSpaceDE w:val="0"/>
      <w:autoSpaceDN w:val="0"/>
      <w:adjustRightInd w:val="0"/>
      <w:spacing w:after="0" w:line="240" w:lineRule="auto"/>
    </w:pPr>
    <w:rPr>
      <w:rFonts w:ascii="QMETJV+CenturySchoolbook-Bold" w:eastAsia="Cambria" w:hAnsi="QMETJV+CenturySchoolbook-Bold" w:cs="QMETJV+CenturySchoolbook-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100D1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1100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0D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0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A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DF1439"/>
    <w:pPr>
      <w:ind w:left="-720" w:firstLine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F1439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78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41998-FFDF-4F88-971E-06F95F12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Look</dc:creator>
  <cp:lastModifiedBy>Solveig De Sutter</cp:lastModifiedBy>
  <cp:revision>2</cp:revision>
  <cp:lastPrinted>2014-02-24T22:32:00Z</cp:lastPrinted>
  <dcterms:created xsi:type="dcterms:W3CDTF">2014-02-24T22:33:00Z</dcterms:created>
  <dcterms:modified xsi:type="dcterms:W3CDTF">2014-02-24T22:33:00Z</dcterms:modified>
</cp:coreProperties>
</file>